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480" w:lineRule="auto"/>
        <w:ind w:left="0" w:right="0" w:firstLine="0"/>
        <w:jc w:val="left"/>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Guerrero Alexandra </w:t>
      </w:r>
    </w:p>
    <w:p w:rsidR="00000000" w:rsidDel="00000000" w:rsidP="00000000" w:rsidRDefault="00000000" w:rsidRPr="00000000" w14:paraId="0000000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480" w:lineRule="auto"/>
        <w:ind w:left="0" w:right="0" w:firstLine="0"/>
        <w:jc w:val="left"/>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CODES 123</w:t>
      </w:r>
    </w:p>
    <w:p w:rsidR="00000000" w:rsidDel="00000000" w:rsidP="00000000" w:rsidRDefault="00000000" w:rsidRPr="00000000" w14:paraId="0000000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480" w:lineRule="auto"/>
        <w:ind w:left="0" w:right="0" w:firstLine="0"/>
        <w:jc w:val="left"/>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Dr.B</w:t>
      </w:r>
    </w:p>
    <w:p w:rsidR="00000000" w:rsidDel="00000000" w:rsidP="00000000" w:rsidRDefault="00000000" w:rsidRPr="00000000" w14:paraId="0000000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480" w:lineRule="auto"/>
        <w:ind w:left="0" w:right="0" w:firstLine="0"/>
        <w:jc w:val="left"/>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23 February 2025</w:t>
      </w:r>
    </w:p>
    <w:p w:rsidR="00000000" w:rsidDel="00000000" w:rsidP="00000000" w:rsidRDefault="00000000" w:rsidRPr="00000000" w14:paraId="0000000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480" w:lineRule="auto"/>
        <w:ind w:left="0" w:right="0" w:firstLine="0"/>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Article annotation  </w:t>
      </w:r>
    </w:p>
    <w:p w:rsidR="00000000" w:rsidDel="00000000" w:rsidP="00000000" w:rsidRDefault="00000000" w:rsidRPr="00000000" w14:paraId="0000000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480" w:lineRule="auto"/>
        <w:ind w:left="0" w:right="0" w:firstLine="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Katie Rawson and Trevor Munoz's research publication Against Cleaning was written to offer a different perspective on data cleaning. It opens by explaining how not cleaning your data can help you have different perspectives and ideas, not just remove what you do not need and only focus on the answer you want from your data.  </w:t>
      </w:r>
    </w:p>
    <w:p w:rsidR="00000000" w:rsidDel="00000000" w:rsidP="00000000" w:rsidRDefault="00000000" w:rsidRPr="00000000" w14:paraId="0000000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480" w:lineRule="auto"/>
        <w:ind w:left="0" w:right="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How detailed and careful was the research? The researchers provided details on how they defined data cleaning and gave examples of how it can be applied. They also spoke very openly about the humanistic approach and its importance. One example that they provide that gives details is the curating menus. Are the results important or new in some way? They are recent, as the publication date is 2025. The information shows challenges in data cleaning and being open to different research practices in the humanities. Are there any biases or limitations? The example of the curating menus project just shows one side of how it may be used or related, making the work look generalizable or relatable to other work. </w:t>
      </w:r>
    </w:p>
    <w:p w:rsidR="00000000" w:rsidDel="00000000" w:rsidP="00000000" w:rsidRDefault="00000000" w:rsidRPr="00000000" w14:paraId="0000000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480" w:lineRule="auto"/>
        <w:ind w:left="0" w:right="0" w:firstLine="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From the reading on research, I see how the information can relate to some of the research I have done. The information or data only concentrates on the topic, which is not open or reliable with other parts, so I now view it as too clean. After the reading, I feel questionable about my research and what I thought I knew about research and data, as I am also new to data cleaning. The information now on data cleaning and understanding can open the researcher's eyes to view all the data before cleaning it to accommodate the topic-specific that you are researching in your data.   </w:t>
      </w:r>
    </w:p>
    <w:p w:rsidR="00000000" w:rsidDel="00000000" w:rsidP="00000000" w:rsidRDefault="00000000" w:rsidRPr="00000000" w14:paraId="0000000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480" w:lineRule="auto"/>
        <w:ind w:left="0" w:right="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480" w:lineRule="auto"/>
        <w:ind w:left="0" w:right="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480" w:lineRule="auto"/>
        <w:ind w:left="0" w:right="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480" w:lineRule="auto"/>
        <w:ind w:left="0" w:right="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480" w:lineRule="auto"/>
        <w:ind w:left="0" w:right="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480" w:lineRule="auto"/>
        <w:ind w:left="0" w:right="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480" w:lineRule="auto"/>
        <w:ind w:left="0" w:right="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480" w:lineRule="auto"/>
        <w:ind w:left="0" w:right="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480" w:lineRule="auto"/>
        <w:ind w:left="0" w:right="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480" w:lineRule="auto"/>
        <w:ind w:left="0" w:right="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480" w:lineRule="auto"/>
        <w:ind w:left="0" w:right="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480" w:lineRule="auto"/>
        <w:ind w:left="0" w:right="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480" w:lineRule="auto"/>
        <w:ind w:left="0" w:right="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480" w:lineRule="auto"/>
        <w:ind w:left="0" w:right="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480" w:lineRule="auto"/>
        <w:ind w:left="0" w:right="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480" w:lineRule="auto"/>
        <w:ind w:left="0" w:right="0" w:firstLine="0"/>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1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480" w:lineRule="auto"/>
        <w:ind w:left="0" w:right="0" w:firstLine="0"/>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Work Cited</w:t>
      </w:r>
    </w:p>
    <w:p w:rsidR="00000000" w:rsidDel="00000000" w:rsidP="00000000" w:rsidRDefault="00000000" w:rsidRPr="00000000" w14:paraId="0000001A">
      <w:pPr>
        <w:spacing w:line="48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RAWSON, KATIE, and TREVOR MUÑOZ. “Against Cleaning.” </w:t>
      </w:r>
      <w:r w:rsidDel="00000000" w:rsidR="00000000" w:rsidRPr="00000000">
        <w:rPr>
          <w:rFonts w:ascii="Times New Roman" w:cs="Times New Roman" w:eastAsia="Times New Roman" w:hAnsi="Times New Roman"/>
          <w:i w:val="1"/>
          <w:sz w:val="24"/>
          <w:szCs w:val="24"/>
          <w:rtl w:val="0"/>
        </w:rPr>
        <w:t xml:space="preserve">Debates in the Digital Humanities 2019</w:t>
      </w:r>
      <w:r w:rsidDel="00000000" w:rsidR="00000000" w:rsidRPr="00000000">
        <w:rPr>
          <w:rFonts w:ascii="Times New Roman" w:cs="Times New Roman" w:eastAsia="Times New Roman" w:hAnsi="Times New Roman"/>
          <w:sz w:val="24"/>
          <w:szCs w:val="24"/>
          <w:rtl w:val="0"/>
        </w:rPr>
        <w:t xml:space="preserve">, edited by Matthew K. Gold and Lauren F. Klein, University of Minnesota Press, 2019, pp. 279–92. </w:t>
      </w:r>
      <w:r w:rsidDel="00000000" w:rsidR="00000000" w:rsidRPr="00000000">
        <w:rPr>
          <w:rFonts w:ascii="Times New Roman" w:cs="Times New Roman" w:eastAsia="Times New Roman" w:hAnsi="Times New Roman"/>
          <w:i w:val="1"/>
          <w:sz w:val="24"/>
          <w:szCs w:val="24"/>
          <w:rtl w:val="0"/>
        </w:rPr>
        <w:t xml:space="preserve">JSTOR</w:t>
      </w:r>
      <w:r w:rsidDel="00000000" w:rsidR="00000000" w:rsidRPr="00000000">
        <w:rPr>
          <w:rFonts w:ascii="Times New Roman" w:cs="Times New Roman" w:eastAsia="Times New Roman" w:hAnsi="Times New Roman"/>
          <w:sz w:val="24"/>
          <w:szCs w:val="24"/>
          <w:rtl w:val="0"/>
        </w:rPr>
        <w:t xml:space="preserve">, https://doi.org/10.5749/j.ctvg251hk.26. Accessed 26 Feb. 2025.</w:t>
      </w:r>
    </w:p>
    <w:p w:rsidR="00000000" w:rsidDel="00000000" w:rsidP="00000000" w:rsidRDefault="00000000" w:rsidRPr="00000000" w14:paraId="0000001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480" w:lineRule="auto"/>
        <w:ind w:left="0" w:right="0" w:firstLine="0"/>
        <w:jc w:val="left"/>
        <w:rPr>
          <w:rFonts w:ascii="Times New Roman" w:cs="Times New Roman" w:eastAsia="Times New Roman" w:hAnsi="Times New Roman"/>
          <w:sz w:val="24"/>
          <w:szCs w:val="24"/>
        </w:rPr>
      </w:pP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Times New Roman"/>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